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52790" w14:textId="59351500" w:rsidR="008B4B65" w:rsidRDefault="00973881" w:rsidP="00973881">
      <w:pPr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802FE33" wp14:editId="0566F0EB">
            <wp:extent cx="1512763" cy="6563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29" cy="660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Century Gothic" w:hAnsi="Century Gothic"/>
          <w:b/>
          <w:bCs/>
          <w:sz w:val="28"/>
          <w:szCs w:val="28"/>
          <w:u w:val="single"/>
        </w:rPr>
        <w:t>Oral Health Policy</w:t>
      </w:r>
    </w:p>
    <w:p w14:paraId="6B64E2F4" w14:textId="1863A8BF" w:rsidR="00973881" w:rsidRDefault="00973881" w:rsidP="0097388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424D75D6" w14:textId="64739297" w:rsidR="00973881" w:rsidRDefault="00973881" w:rsidP="00973881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Our aim:</w:t>
      </w:r>
    </w:p>
    <w:p w14:paraId="514A8840" w14:textId="77777777" w:rsidR="006E2B7D" w:rsidRDefault="006E2B7D" w:rsidP="00973881">
      <w:pPr>
        <w:rPr>
          <w:rFonts w:ascii="Century Gothic" w:hAnsi="Century Gothic"/>
          <w:sz w:val="24"/>
          <w:szCs w:val="24"/>
        </w:rPr>
      </w:pPr>
      <w:r w:rsidRPr="006E2B7D">
        <w:rPr>
          <w:rFonts w:ascii="Century Gothic" w:hAnsi="Century Gothic"/>
          <w:sz w:val="24"/>
          <w:szCs w:val="24"/>
        </w:rPr>
        <w:t xml:space="preserve">We recognise that oral health contributes to general health and wellbeing of children, influencing on their development and school readiness. </w:t>
      </w:r>
      <w:r>
        <w:rPr>
          <w:rFonts w:ascii="Century Gothic" w:hAnsi="Century Gothic"/>
          <w:sz w:val="24"/>
          <w:szCs w:val="24"/>
        </w:rPr>
        <w:t xml:space="preserve">They may experience toothaches, infections, difficulties in eating and sleeping and attendance may be poor due to frequent dentist visits and hospitalisation. </w:t>
      </w:r>
    </w:p>
    <w:p w14:paraId="656DC2B5" w14:textId="416C7F9C" w:rsidR="00973881" w:rsidRDefault="006E2B7D" w:rsidP="0097388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One in four children in England have tooth decay before they start school, as a preschool setting</w:t>
      </w:r>
      <w:r w:rsidR="00DB620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we strive to advise parents in preventing tooth decay </w:t>
      </w:r>
      <w:r w:rsidR="00DB6203">
        <w:rPr>
          <w:rFonts w:ascii="Century Gothic" w:hAnsi="Century Gothic"/>
          <w:sz w:val="24"/>
          <w:szCs w:val="24"/>
        </w:rPr>
        <w:t>and the importance of good oral health routines from a young age, as children who experience early childhood decay are more likely to develop oral health problems in their primary and permanent teeth.</w:t>
      </w:r>
    </w:p>
    <w:p w14:paraId="4D549888" w14:textId="5C4292D3" w:rsidR="00DB6203" w:rsidRDefault="00DB6203" w:rsidP="0097388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We are aware that prolonged use of bottles or </w:t>
      </w:r>
      <w:proofErr w:type="spellStart"/>
      <w:r>
        <w:rPr>
          <w:rFonts w:ascii="Century Gothic" w:hAnsi="Century Gothic"/>
          <w:sz w:val="24"/>
          <w:szCs w:val="24"/>
        </w:rPr>
        <w:t>sippy</w:t>
      </w:r>
      <w:proofErr w:type="spellEnd"/>
      <w:r>
        <w:rPr>
          <w:rFonts w:ascii="Century Gothic" w:hAnsi="Century Gothic"/>
          <w:sz w:val="24"/>
          <w:szCs w:val="24"/>
        </w:rPr>
        <w:t xml:space="preserve"> cups containing sugary drinks adds risk of decay in 0-3 year olds and frequent snacking in 3-6 year olds can lead to frequent and prolonged acid attacks on tooth enamel.</w:t>
      </w:r>
    </w:p>
    <w:p w14:paraId="010783EB" w14:textId="1E207149" w:rsidR="00DB6203" w:rsidRDefault="00DB6203" w:rsidP="0097388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Setting/staff role:</w:t>
      </w:r>
    </w:p>
    <w:p w14:paraId="5DA6C1B4" w14:textId="5376E11D" w:rsidR="00DB6203" w:rsidRDefault="00DB6203" w:rsidP="00DB620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Provide and review packed lunch and food and drink policy</w:t>
      </w:r>
      <w:r w:rsidR="00E760C1">
        <w:rPr>
          <w:rFonts w:ascii="Century Gothic" w:hAnsi="Century Gothic"/>
          <w:sz w:val="24"/>
          <w:szCs w:val="24"/>
        </w:rPr>
        <w:t xml:space="preserve"> annually.</w:t>
      </w:r>
    </w:p>
    <w:p w14:paraId="12A6F239" w14:textId="627AD8CB" w:rsidR="00E760C1" w:rsidRDefault="00E760C1" w:rsidP="00DB620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Monitor children’s lunch boxes and drinks and remove anything which is objected to in our packed lunch policy. Replace juice with water.</w:t>
      </w:r>
    </w:p>
    <w:p w14:paraId="1DDBDB56" w14:textId="6537DCCA" w:rsidR="00E760C1" w:rsidRDefault="00E760C1" w:rsidP="00DB620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Model good hygiene and healthy eating practice at snack and lunchtime.</w:t>
      </w:r>
    </w:p>
    <w:p w14:paraId="2B1E0DD9" w14:textId="6070BC0F" w:rsidR="00E760C1" w:rsidRPr="005E6C3B" w:rsidRDefault="00E760C1" w:rsidP="00DB6203">
      <w:pPr>
        <w:pStyle w:val="ListParagraph"/>
        <w:numPr>
          <w:ilvl w:val="0"/>
          <w:numId w:val="1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Provide resources and activities surrounding toothbrushing to make it more </w:t>
      </w:r>
      <w:r w:rsidRPr="005E6C3B">
        <w:rPr>
          <w:rFonts w:ascii="Century Gothic" w:hAnsi="Century Gothic"/>
          <w:color w:val="000000" w:themeColor="text1"/>
          <w:sz w:val="24"/>
          <w:szCs w:val="24"/>
        </w:rPr>
        <w:t>exciting.</w:t>
      </w:r>
    </w:p>
    <w:p w14:paraId="632432A5" w14:textId="6D1CE569" w:rsidR="008C28B0" w:rsidRPr="005E6C3B" w:rsidRDefault="008C28B0" w:rsidP="00DB6203">
      <w:pPr>
        <w:pStyle w:val="ListParagraph"/>
        <w:numPr>
          <w:ilvl w:val="0"/>
          <w:numId w:val="1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5E6C3B">
        <w:rPr>
          <w:rFonts w:ascii="Century Gothic" w:hAnsi="Century Gothic"/>
          <w:color w:val="000000" w:themeColor="text1"/>
          <w:sz w:val="24"/>
          <w:szCs w:val="24"/>
        </w:rPr>
        <w:t xml:space="preserve">Obtain whether a child has visited a dentist on their registrations forms. If they have not encourage to go as soon as possible. </w:t>
      </w:r>
    </w:p>
    <w:p w14:paraId="5FEB7698" w14:textId="585D0075" w:rsidR="00E760C1" w:rsidRPr="005E6C3B" w:rsidRDefault="00E760C1" w:rsidP="00DB6203">
      <w:pPr>
        <w:pStyle w:val="ListParagraph"/>
        <w:numPr>
          <w:ilvl w:val="0"/>
          <w:numId w:val="1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5E6C3B">
        <w:rPr>
          <w:rFonts w:ascii="Century Gothic" w:hAnsi="Century Gothic"/>
          <w:color w:val="000000" w:themeColor="text1"/>
          <w:sz w:val="24"/>
          <w:szCs w:val="24"/>
        </w:rPr>
        <w:t>Be aware if children experience toothache or visible decay and inform parents.</w:t>
      </w:r>
    </w:p>
    <w:p w14:paraId="02E778D3" w14:textId="451EDCE8" w:rsidR="001D37EA" w:rsidRPr="005E6C3B" w:rsidRDefault="001D37EA" w:rsidP="00DB6203">
      <w:pPr>
        <w:pStyle w:val="ListParagraph"/>
        <w:numPr>
          <w:ilvl w:val="0"/>
          <w:numId w:val="1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5E6C3B">
        <w:rPr>
          <w:rFonts w:ascii="Century Gothic" w:hAnsi="Century Gothic"/>
          <w:color w:val="000000" w:themeColor="text1"/>
          <w:sz w:val="24"/>
          <w:szCs w:val="24"/>
        </w:rPr>
        <w:t xml:space="preserve">Signpost parents to forms of advice – </w:t>
      </w:r>
      <w:hyperlink r:id="rId6" w:history="1">
        <w:r w:rsidR="008C28B0" w:rsidRPr="005E6C3B">
          <w:rPr>
            <w:rStyle w:val="Hyperlink"/>
            <w:rFonts w:ascii="Century Gothic" w:hAnsi="Century Gothic"/>
            <w:color w:val="000000" w:themeColor="text1"/>
            <w:sz w:val="24"/>
            <w:szCs w:val="24"/>
          </w:rPr>
          <w:t>www.nhs.uk/live-well/healthy-body/taking-care-of-childrens-teeth</w:t>
        </w:r>
      </w:hyperlink>
      <w:r w:rsidRPr="005E6C3B">
        <w:rPr>
          <w:rFonts w:ascii="Century Gothic" w:hAnsi="Century Gothic"/>
          <w:color w:val="000000" w:themeColor="text1"/>
          <w:sz w:val="24"/>
          <w:szCs w:val="24"/>
        </w:rPr>
        <w:t>)</w:t>
      </w:r>
      <w:r w:rsidR="00980CD8" w:rsidRPr="005E6C3B">
        <w:rPr>
          <w:rFonts w:ascii="Century Gothic" w:hAnsi="Century Gothic"/>
          <w:color w:val="000000" w:themeColor="text1"/>
          <w:sz w:val="24"/>
          <w:szCs w:val="24"/>
        </w:rPr>
        <w:t xml:space="preserve"> this includes the support for parents section on our website. </w:t>
      </w:r>
    </w:p>
    <w:p w14:paraId="62DFC6B3" w14:textId="0C6071B8" w:rsidR="008C28B0" w:rsidRPr="005E6C3B" w:rsidRDefault="008C28B0" w:rsidP="00DB6203">
      <w:pPr>
        <w:pStyle w:val="ListParagraph"/>
        <w:numPr>
          <w:ilvl w:val="0"/>
          <w:numId w:val="1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5E6C3B">
        <w:rPr>
          <w:rFonts w:ascii="Century Gothic" w:hAnsi="Century Gothic"/>
          <w:color w:val="000000" w:themeColor="text1"/>
          <w:sz w:val="24"/>
          <w:szCs w:val="24"/>
        </w:rPr>
        <w:t>Log any concerns we have regarding children’s teeth/oral health routines and offer support on ways this can be improved upon at home.</w:t>
      </w:r>
    </w:p>
    <w:p w14:paraId="70F2CF31" w14:textId="1A3D785C" w:rsidR="00E760C1" w:rsidRDefault="00E760C1" w:rsidP="00E760C1">
      <w:pPr>
        <w:rPr>
          <w:rFonts w:ascii="Century Gothic" w:hAnsi="Century Gothic"/>
          <w:sz w:val="24"/>
          <w:szCs w:val="24"/>
        </w:rPr>
      </w:pPr>
    </w:p>
    <w:p w14:paraId="433F2ADA" w14:textId="736C1B94" w:rsidR="00E760C1" w:rsidRDefault="00E760C1" w:rsidP="00E760C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Parents role:</w:t>
      </w:r>
    </w:p>
    <w:p w14:paraId="156AE3CC" w14:textId="4AA3E7D2" w:rsidR="00E760C1" w:rsidRPr="00E760C1" w:rsidRDefault="00E760C1" w:rsidP="00E760C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Ensure children have dental check-ups twice a year</w:t>
      </w:r>
      <w:r w:rsidR="003A65C7" w:rsidRPr="008C28B0">
        <w:rPr>
          <w:rFonts w:ascii="Century Gothic" w:hAnsi="Century Gothic"/>
          <w:sz w:val="24"/>
          <w:szCs w:val="24"/>
        </w:rPr>
        <w:t xml:space="preserve"> starting from when they turn 1.</w:t>
      </w:r>
    </w:p>
    <w:p w14:paraId="338E284D" w14:textId="0C1BE15C" w:rsidR="00E760C1" w:rsidRPr="00E760C1" w:rsidRDefault="00E760C1" w:rsidP="00E760C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Parents should brush or supervise brushing twice daily; last thing at night and on one other </w:t>
      </w:r>
      <w:r w:rsidRPr="008C28B0">
        <w:rPr>
          <w:rFonts w:ascii="Century Gothic" w:hAnsi="Century Gothic"/>
          <w:sz w:val="24"/>
          <w:szCs w:val="24"/>
        </w:rPr>
        <w:t>occasion during the day</w:t>
      </w:r>
      <w:r w:rsidR="003A65C7" w:rsidRPr="008C28B0">
        <w:rPr>
          <w:rFonts w:ascii="Century Gothic" w:hAnsi="Century Gothic"/>
          <w:sz w:val="24"/>
          <w:szCs w:val="24"/>
        </w:rPr>
        <w:t xml:space="preserve"> </w:t>
      </w:r>
      <w:r w:rsidR="00D975B8" w:rsidRPr="008C28B0">
        <w:rPr>
          <w:rFonts w:ascii="Century Gothic" w:hAnsi="Century Gothic"/>
          <w:sz w:val="24"/>
          <w:szCs w:val="24"/>
        </w:rPr>
        <w:t>(recommended time 2 minutes)</w:t>
      </w:r>
      <w:r w:rsidR="003A65C7" w:rsidRPr="008C28B0">
        <w:rPr>
          <w:rFonts w:ascii="Century Gothic" w:hAnsi="Century Gothic"/>
          <w:sz w:val="24"/>
          <w:szCs w:val="24"/>
        </w:rPr>
        <w:t xml:space="preserve"> using a fluoride toothpaste.</w:t>
      </w:r>
    </w:p>
    <w:p w14:paraId="2D83E98C" w14:textId="77777777" w:rsidR="00E760C1" w:rsidRPr="00E760C1" w:rsidRDefault="00E760C1" w:rsidP="00E760C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Reduce the amount of sugary food and drinks.</w:t>
      </w:r>
    </w:p>
    <w:p w14:paraId="46A7BFCB" w14:textId="77777777" w:rsidR="00E760C1" w:rsidRPr="00E760C1" w:rsidRDefault="00E760C1" w:rsidP="00E760C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Only give sweet foods including dried fruit at mealtimes.</w:t>
      </w:r>
    </w:p>
    <w:p w14:paraId="1F4563A1" w14:textId="77777777" w:rsidR="00E760C1" w:rsidRPr="00E760C1" w:rsidRDefault="00E760C1" w:rsidP="00E760C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Use sugar free medicines.</w:t>
      </w:r>
    </w:p>
    <w:p w14:paraId="42BA741A" w14:textId="2DD48008" w:rsidR="00E760C1" w:rsidRPr="001D37EA" w:rsidRDefault="00E760C1" w:rsidP="00E760C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Encourage children to spit toothpaste out after brushing but not rinse</w:t>
      </w:r>
      <w:r w:rsidR="001D37EA">
        <w:rPr>
          <w:rFonts w:ascii="Century Gothic" w:hAnsi="Century Gothic"/>
          <w:sz w:val="24"/>
          <w:szCs w:val="24"/>
        </w:rPr>
        <w:t>.</w:t>
      </w:r>
    </w:p>
    <w:p w14:paraId="4C40718C" w14:textId="6C7C3867" w:rsidR="001D37EA" w:rsidRPr="003A65C7" w:rsidRDefault="001D37EA" w:rsidP="00E760C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Promote and model good oral hygiene at home.</w:t>
      </w:r>
    </w:p>
    <w:p w14:paraId="027099BA" w14:textId="1A64D2AB" w:rsidR="003A65C7" w:rsidRPr="008C28B0" w:rsidRDefault="003A65C7" w:rsidP="00E760C1">
      <w:pPr>
        <w:pStyle w:val="ListParagraph"/>
        <w:numPr>
          <w:ilvl w:val="0"/>
          <w:numId w:val="2"/>
        </w:numPr>
        <w:rPr>
          <w:rFonts w:ascii="Century Gothic" w:hAnsi="Century Gothic"/>
          <w:b/>
          <w:bCs/>
          <w:sz w:val="24"/>
          <w:szCs w:val="24"/>
        </w:rPr>
      </w:pPr>
      <w:r w:rsidRPr="008C28B0">
        <w:rPr>
          <w:rFonts w:ascii="Century Gothic" w:hAnsi="Century Gothic"/>
          <w:sz w:val="24"/>
          <w:szCs w:val="24"/>
        </w:rPr>
        <w:t>Do not allow children to use mouthwash up to age 6 to avoid swallowing.</w:t>
      </w:r>
    </w:p>
    <w:p w14:paraId="112E492F" w14:textId="77777777" w:rsidR="00D975B8" w:rsidRDefault="00D975B8" w:rsidP="00D975B8">
      <w:pPr>
        <w:rPr>
          <w:rFonts w:ascii="Century Gothic" w:hAnsi="Century Gothic"/>
          <w:b/>
          <w:bCs/>
          <w:sz w:val="24"/>
          <w:szCs w:val="24"/>
        </w:rPr>
      </w:pPr>
    </w:p>
    <w:p w14:paraId="14EB30BC" w14:textId="725E1DF3" w:rsidR="00D975B8" w:rsidRPr="005E6C3B" w:rsidRDefault="000831EC" w:rsidP="00D975B8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Please note t</w:t>
      </w:r>
      <w:r w:rsidRPr="000831EC">
        <w:rPr>
          <w:rFonts w:ascii="Century Gothic" w:hAnsi="Century Gothic"/>
          <w:b/>
          <w:bCs/>
          <w:sz w:val="24"/>
          <w:szCs w:val="24"/>
        </w:rPr>
        <w:t xml:space="preserve">he safeguarding and welfare requirements in the </w:t>
      </w:r>
      <w:r>
        <w:rPr>
          <w:rFonts w:ascii="Century Gothic" w:hAnsi="Century Gothic"/>
          <w:b/>
          <w:bCs/>
          <w:sz w:val="24"/>
          <w:szCs w:val="24"/>
        </w:rPr>
        <w:t>new EYFS now include oral health</w:t>
      </w:r>
      <w:r w:rsidRPr="005E6C3B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. </w:t>
      </w:r>
      <w:r w:rsidR="008C28B0" w:rsidRPr="005E6C3B">
        <w:rPr>
          <w:rFonts w:ascii="Century Gothic" w:hAnsi="Century Gothic"/>
          <w:b/>
          <w:bCs/>
          <w:color w:val="000000" w:themeColor="text1"/>
          <w:sz w:val="24"/>
          <w:szCs w:val="24"/>
        </w:rPr>
        <w:t>Poor oral health and lack of hygiene routines surrounding children’s teeth is now classed as a form of child neglect.</w:t>
      </w:r>
    </w:p>
    <w:p w14:paraId="748CB9C1" w14:textId="7ECD3760" w:rsidR="001D37EA" w:rsidRDefault="001D37EA" w:rsidP="001D37EA">
      <w:pPr>
        <w:rPr>
          <w:rFonts w:ascii="Century Gothic" w:hAnsi="Century Gothic"/>
          <w:b/>
          <w:bCs/>
          <w:sz w:val="24"/>
          <w:szCs w:val="24"/>
        </w:rPr>
      </w:pPr>
    </w:p>
    <w:p w14:paraId="47F883B0" w14:textId="77777777" w:rsidR="001D37EA" w:rsidRPr="00F47A4D" w:rsidRDefault="001D37EA" w:rsidP="001D37EA">
      <w:pPr>
        <w:tabs>
          <w:tab w:val="left" w:pos="3772"/>
        </w:tabs>
        <w:rPr>
          <w:rFonts w:ascii="Century Gothic" w:hAnsi="Century Gothic"/>
        </w:rPr>
      </w:pPr>
      <w:r w:rsidRPr="00F47A4D">
        <w:rPr>
          <w:rFonts w:ascii="Century Gothic" w:hAnsi="Century Gothic"/>
        </w:rPr>
        <w:t>This policy wa</w:t>
      </w:r>
      <w:r>
        <w:rPr>
          <w:rFonts w:ascii="Century Gothic" w:hAnsi="Century Gothic"/>
        </w:rPr>
        <w:t>s adopted by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Fowlmere Playgroup</w:t>
      </w:r>
    </w:p>
    <w:p w14:paraId="23E0D86C" w14:textId="42F1B98D" w:rsidR="001D37EA" w:rsidRPr="00F47A4D" w:rsidRDefault="001F2612" w:rsidP="001D37EA">
      <w:p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May</w:t>
      </w:r>
      <w:r w:rsidR="001D37EA">
        <w:rPr>
          <w:rFonts w:ascii="Century Gothic" w:hAnsi="Century Gothic"/>
        </w:rPr>
        <w:t xml:space="preserve"> 2022</w:t>
      </w:r>
    </w:p>
    <w:p w14:paraId="03DB66C7" w14:textId="189E97A8" w:rsidR="001D37EA" w:rsidRPr="00F47A4D" w:rsidRDefault="001F2612" w:rsidP="001D37EA">
      <w:p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Date to be reviewed</w:t>
      </w:r>
      <w:r>
        <w:rPr>
          <w:rFonts w:ascii="Century Gothic" w:hAnsi="Century Gothic"/>
        </w:rPr>
        <w:tab/>
      </w:r>
      <w:r w:rsidR="008C28B0">
        <w:rPr>
          <w:rFonts w:ascii="Century Gothic" w:hAnsi="Century Gothic"/>
        </w:rPr>
        <w:tab/>
        <w:t>Sept</w:t>
      </w:r>
      <w:r w:rsidR="001D37EA">
        <w:rPr>
          <w:rFonts w:ascii="Century Gothic" w:hAnsi="Century Gothic"/>
        </w:rPr>
        <w:t xml:space="preserve"> 202</w:t>
      </w:r>
      <w:r w:rsidR="005E6C3B">
        <w:rPr>
          <w:rFonts w:ascii="Century Gothic" w:hAnsi="Century Gothic"/>
        </w:rPr>
        <w:t>6</w:t>
      </w:r>
    </w:p>
    <w:p w14:paraId="130294F8" w14:textId="13A2A351" w:rsidR="001D37EA" w:rsidRPr="00F47A4D" w:rsidRDefault="001D37EA" w:rsidP="001D37EA">
      <w:pPr>
        <w:tabs>
          <w:tab w:val="left" w:pos="3772"/>
        </w:tabs>
        <w:rPr>
          <w:rFonts w:ascii="Century Gothic" w:hAnsi="Century Gothic"/>
        </w:rPr>
      </w:pPr>
      <w:r w:rsidRPr="00F47A4D">
        <w:rPr>
          <w:rFonts w:ascii="Century Gothic" w:hAnsi="Century Gothic"/>
        </w:rPr>
        <w:t>Signed on behalf of the provider</w:t>
      </w:r>
      <w:r w:rsidRPr="00F47A4D">
        <w:rPr>
          <w:rFonts w:ascii="Century Gothic" w:hAnsi="Century Gothic"/>
        </w:rPr>
        <w:tab/>
      </w:r>
      <w:r w:rsidR="003A65C7">
        <w:rPr>
          <w:rFonts w:ascii="Century Gothic" w:hAnsi="Century Gothic"/>
        </w:rPr>
        <w:t>………………………………….</w:t>
      </w:r>
    </w:p>
    <w:p w14:paraId="6519BC2B" w14:textId="30A3E7D2" w:rsidR="001D37EA" w:rsidRPr="00F47A4D" w:rsidRDefault="001D37EA" w:rsidP="001D37EA">
      <w:pPr>
        <w:tabs>
          <w:tab w:val="left" w:pos="3772"/>
        </w:tabs>
        <w:rPr>
          <w:rFonts w:ascii="Century Gothic" w:hAnsi="Century Gothic"/>
        </w:rPr>
      </w:pPr>
      <w:r w:rsidRPr="00F47A4D">
        <w:rPr>
          <w:rFonts w:ascii="Century Gothic" w:hAnsi="Century Gothic"/>
        </w:rPr>
        <w:t>Name of signatory</w:t>
      </w:r>
      <w:r w:rsidRPr="00F47A4D">
        <w:rPr>
          <w:rFonts w:ascii="Century Gothic" w:hAnsi="Century Gothic"/>
        </w:rPr>
        <w:tab/>
      </w:r>
      <w:r w:rsidR="003A65C7">
        <w:rPr>
          <w:rFonts w:ascii="Century Gothic" w:hAnsi="Century Gothic"/>
        </w:rPr>
        <w:t>……………</w:t>
      </w:r>
      <w:r w:rsidR="005E6C3B">
        <w:rPr>
          <w:rFonts w:ascii="Century Gothic" w:hAnsi="Century Gothic"/>
        </w:rPr>
        <w:t>Sarah Smith Jones</w:t>
      </w:r>
      <w:r w:rsidR="003A65C7">
        <w:rPr>
          <w:rFonts w:ascii="Century Gothic" w:hAnsi="Century Gothic"/>
        </w:rPr>
        <w:t xml:space="preserve"> …………</w:t>
      </w:r>
    </w:p>
    <w:p w14:paraId="2754A1CD" w14:textId="6E505C47" w:rsidR="001D37EA" w:rsidRPr="00F47A4D" w:rsidRDefault="001D37EA" w:rsidP="001D37EA">
      <w:pPr>
        <w:tabs>
          <w:tab w:val="left" w:pos="3772"/>
        </w:tabs>
        <w:rPr>
          <w:rFonts w:ascii="Century Gothic" w:hAnsi="Century Gothic"/>
        </w:rPr>
      </w:pPr>
      <w:r w:rsidRPr="00F47A4D">
        <w:rPr>
          <w:rFonts w:ascii="Century Gothic" w:hAnsi="Century Gothic"/>
        </w:rPr>
        <w:t>Role of signatory (e.g. chair, director or owner)</w:t>
      </w:r>
      <w:r w:rsidRPr="00F47A4D">
        <w:rPr>
          <w:rFonts w:ascii="Century Gothic" w:hAnsi="Century Gothic"/>
        </w:rPr>
        <w:tab/>
      </w:r>
      <w:r w:rsidR="003A65C7">
        <w:rPr>
          <w:rFonts w:ascii="Century Gothic" w:hAnsi="Century Gothic"/>
        </w:rPr>
        <w:t>………Chairperson…….</w:t>
      </w:r>
    </w:p>
    <w:p w14:paraId="21D26AF8" w14:textId="77777777" w:rsidR="001D37EA" w:rsidRPr="008C28B0" w:rsidRDefault="001D37EA" w:rsidP="001D37EA">
      <w:pPr>
        <w:rPr>
          <w:rFonts w:ascii="Century Gothic" w:hAnsi="Century Gothic"/>
          <w:b/>
          <w:bCs/>
          <w:sz w:val="24"/>
          <w:szCs w:val="24"/>
        </w:rPr>
      </w:pPr>
    </w:p>
    <w:p w14:paraId="35DAA031" w14:textId="27916A3F" w:rsidR="003A65C7" w:rsidRPr="005E6C3B" w:rsidRDefault="003A65C7" w:rsidP="001D37EA">
      <w:pPr>
        <w:rPr>
          <w:rFonts w:ascii="Century Gothic" w:hAnsi="Century Gothic"/>
          <w:color w:val="000000" w:themeColor="text1"/>
          <w:sz w:val="24"/>
          <w:szCs w:val="24"/>
        </w:rPr>
      </w:pPr>
      <w:r w:rsidRPr="005E6C3B">
        <w:rPr>
          <w:rFonts w:ascii="Century Gothic" w:hAnsi="Century Gothic"/>
          <w:color w:val="000000" w:themeColor="text1"/>
          <w:sz w:val="24"/>
          <w:szCs w:val="24"/>
        </w:rPr>
        <w:t xml:space="preserve">Reviewed June 2023 </w:t>
      </w:r>
      <w:r w:rsidRPr="005E6C3B">
        <w:rPr>
          <w:rFonts w:ascii="Century Gothic" w:hAnsi="Century Gothic"/>
          <w:color w:val="000000" w:themeColor="text1"/>
          <w:sz w:val="24"/>
          <w:szCs w:val="24"/>
        </w:rPr>
        <w:tab/>
      </w:r>
      <w:r w:rsidRPr="005E6C3B">
        <w:rPr>
          <w:rFonts w:ascii="Century Gothic" w:hAnsi="Century Gothic"/>
          <w:color w:val="000000" w:themeColor="text1"/>
          <w:sz w:val="24"/>
          <w:szCs w:val="24"/>
        </w:rPr>
        <w:tab/>
        <w:t>Verity Smith</w:t>
      </w:r>
    </w:p>
    <w:p w14:paraId="0D01CA86" w14:textId="14E8534B" w:rsidR="008C28B0" w:rsidRDefault="008C28B0" w:rsidP="001D37EA">
      <w:pPr>
        <w:rPr>
          <w:rFonts w:ascii="Century Gothic" w:hAnsi="Century Gothic"/>
          <w:color w:val="000000" w:themeColor="text1"/>
          <w:sz w:val="24"/>
          <w:szCs w:val="24"/>
        </w:rPr>
      </w:pPr>
      <w:r w:rsidRPr="005E6C3B">
        <w:rPr>
          <w:rFonts w:ascii="Century Gothic" w:hAnsi="Century Gothic"/>
          <w:color w:val="000000" w:themeColor="text1"/>
          <w:sz w:val="24"/>
          <w:szCs w:val="24"/>
        </w:rPr>
        <w:t xml:space="preserve">Updated / Reviewed Sept 2024 </w:t>
      </w:r>
      <w:r w:rsidRPr="005E6C3B">
        <w:rPr>
          <w:rFonts w:ascii="Century Gothic" w:hAnsi="Century Gothic"/>
          <w:color w:val="000000" w:themeColor="text1"/>
          <w:sz w:val="24"/>
          <w:szCs w:val="24"/>
        </w:rPr>
        <w:tab/>
        <w:t xml:space="preserve">Jasmine </w:t>
      </w:r>
      <w:proofErr w:type="spellStart"/>
      <w:r w:rsidRPr="005E6C3B">
        <w:rPr>
          <w:rFonts w:ascii="Century Gothic" w:hAnsi="Century Gothic"/>
          <w:color w:val="000000" w:themeColor="text1"/>
          <w:sz w:val="24"/>
          <w:szCs w:val="24"/>
        </w:rPr>
        <w:t>Redrup</w:t>
      </w:r>
      <w:proofErr w:type="spellEnd"/>
      <w:r w:rsidRPr="005E6C3B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2AD19403" w14:textId="6473EBB8" w:rsidR="005E6C3B" w:rsidRPr="005E6C3B" w:rsidRDefault="005E6C3B" w:rsidP="001D37EA">
      <w:p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Reviewed Sept 2025</w:t>
      </w:r>
      <w:r>
        <w:rPr>
          <w:rFonts w:ascii="Century Gothic" w:hAnsi="Century Gothic"/>
          <w:color w:val="000000" w:themeColor="text1"/>
          <w:sz w:val="24"/>
          <w:szCs w:val="24"/>
        </w:rPr>
        <w:tab/>
      </w:r>
      <w:r>
        <w:rPr>
          <w:rFonts w:ascii="Century Gothic" w:hAnsi="Century Gothic"/>
          <w:color w:val="000000" w:themeColor="text1"/>
          <w:sz w:val="24"/>
          <w:szCs w:val="24"/>
        </w:rPr>
        <w:tab/>
        <w:t>Verity Pick</w:t>
      </w:r>
    </w:p>
    <w:sectPr w:rsidR="005E6C3B" w:rsidRPr="005E6C3B" w:rsidSect="001F261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106F8"/>
    <w:multiLevelType w:val="hybridMultilevel"/>
    <w:tmpl w:val="34B8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44DD"/>
    <w:multiLevelType w:val="hybridMultilevel"/>
    <w:tmpl w:val="30D6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81"/>
    <w:rsid w:val="000831EC"/>
    <w:rsid w:val="001D37EA"/>
    <w:rsid w:val="001F2612"/>
    <w:rsid w:val="00382612"/>
    <w:rsid w:val="003A65C7"/>
    <w:rsid w:val="005E6C3B"/>
    <w:rsid w:val="006E2B7D"/>
    <w:rsid w:val="0086506C"/>
    <w:rsid w:val="008B4B65"/>
    <w:rsid w:val="008C28B0"/>
    <w:rsid w:val="00973881"/>
    <w:rsid w:val="00980CD8"/>
    <w:rsid w:val="00C70EA5"/>
    <w:rsid w:val="00D975B8"/>
    <w:rsid w:val="00DB6203"/>
    <w:rsid w:val="00E7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3DBF"/>
  <w15:chartTrackingRefBased/>
  <w15:docId w15:val="{D420CF4B-DE57-4C9C-8662-FC92E810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s.uk/live-well/healthy-body/taking-care-of-childrens-tee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Pick</dc:creator>
  <cp:keywords/>
  <dc:description/>
  <cp:lastModifiedBy>Microsoft account</cp:lastModifiedBy>
  <cp:revision>2</cp:revision>
  <dcterms:created xsi:type="dcterms:W3CDTF">2025-10-01T12:45:00Z</dcterms:created>
  <dcterms:modified xsi:type="dcterms:W3CDTF">2025-10-01T12:45:00Z</dcterms:modified>
</cp:coreProperties>
</file>